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BA88" w14:textId="77777777" w:rsidR="00011386" w:rsidRDefault="009314FC">
      <w:pPr>
        <w:pStyle w:val="Title"/>
      </w:pPr>
      <w:bookmarkStart w:id="0" w:name="Aviso_al_público_sobre_los_derechos_civi"/>
      <w:bookmarkEnd w:id="0"/>
      <w:r>
        <w:t>Aviso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rPr>
          <w:spacing w:val="-2"/>
        </w:rPr>
        <w:t>civiles</w:t>
      </w:r>
    </w:p>
    <w:p w14:paraId="62D9C9DF" w14:textId="19B9ED7A" w:rsidR="00011386" w:rsidRDefault="009314FC">
      <w:pPr>
        <w:pStyle w:val="BodyText"/>
        <w:spacing w:before="239"/>
        <w:ind w:left="119"/>
      </w:pPr>
      <w:r>
        <w:t xml:space="preserve">Central Massachusetts Regional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(CMRPC) y el Central Massachusetts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(CMMPO) cumplen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VI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 de</w:t>
      </w:r>
      <w:r>
        <w:rPr>
          <w:spacing w:val="-6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1964,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prohíbe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discriminación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motivos de</w:t>
      </w:r>
      <w:r>
        <w:rPr>
          <w:spacing w:val="-1"/>
        </w:rPr>
        <w:t xml:space="preserve"> </w:t>
      </w:r>
      <w:r>
        <w:t>raza, color o nacionalidad (incluido el dominio limitado del inglés). Las leyes federales y estatales de no discriminación prohíben la discriminación por</w:t>
      </w:r>
      <w:r>
        <w:rPr>
          <w:spacing w:val="-2"/>
        </w:rPr>
        <w:t xml:space="preserve"> </w:t>
      </w:r>
      <w:r>
        <w:t>motivos de edad, sexo, discapacidad</w:t>
      </w:r>
      <w:r>
        <w:rPr>
          <w:spacing w:val="-2"/>
        </w:rPr>
        <w:t xml:space="preserve"> </w:t>
      </w:r>
      <w:r>
        <w:t>y otras características protegidas.</w:t>
      </w:r>
      <w:r>
        <w:rPr>
          <w:spacing w:val="-1"/>
        </w:rPr>
        <w:t xml:space="preserve"> </w:t>
      </w:r>
      <w:r>
        <w:t>CMRPC y CMMPO están comprometidos con la no discriminación en todas sus actividades.</w:t>
      </w:r>
    </w:p>
    <w:p w14:paraId="58226161" w14:textId="77777777" w:rsidR="00011386" w:rsidRDefault="00011386">
      <w:pPr>
        <w:pStyle w:val="BodyText"/>
        <w:rPr>
          <w:sz w:val="30"/>
        </w:rPr>
      </w:pPr>
    </w:p>
    <w:p w14:paraId="39FE9942" w14:textId="05AFCDB6" w:rsidR="00011386" w:rsidRDefault="009314FC">
      <w:pPr>
        <w:pStyle w:val="BodyText"/>
        <w:spacing w:before="217"/>
        <w:ind w:left="119"/>
      </w:pP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crean</w:t>
      </w:r>
      <w:r>
        <w:rPr>
          <w:spacing w:val="-4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discriminadas</w:t>
      </w:r>
      <w:r>
        <w:rPr>
          <w:spacing w:val="-5"/>
        </w:rPr>
        <w:t xml:space="preserve"> </w:t>
      </w:r>
      <w:r>
        <w:t>pueden</w:t>
      </w:r>
      <w:r>
        <w:rPr>
          <w:spacing w:val="-9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queja</w:t>
      </w:r>
      <w:r>
        <w:rPr>
          <w:spacing w:val="-4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CMRPC/CMMPO</w:t>
      </w:r>
      <w:r>
        <w:rPr>
          <w:spacing w:val="-7"/>
        </w:rPr>
        <w:t xml:space="preserve"> </w:t>
      </w:r>
      <w:r>
        <w:rPr>
          <w:spacing w:val="-5"/>
        </w:rPr>
        <w:t>en</w:t>
      </w:r>
    </w:p>
    <w:p w14:paraId="774A5CB4" w14:textId="77777777" w:rsidR="00011386" w:rsidRDefault="00011386">
      <w:pPr>
        <w:pStyle w:val="BodyText"/>
        <w:spacing w:before="5"/>
        <w:rPr>
          <w:sz w:val="38"/>
        </w:rPr>
      </w:pPr>
    </w:p>
    <w:p w14:paraId="7AD35C86" w14:textId="5815C199" w:rsidR="00011386" w:rsidRDefault="009314FC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CMRPC </w:t>
      </w:r>
      <w:proofErr w:type="spellStart"/>
      <w:r>
        <w:rPr>
          <w:b/>
          <w:sz w:val="24"/>
        </w:rPr>
        <w:t>Title</w:t>
      </w:r>
      <w:proofErr w:type="spellEnd"/>
      <w:r>
        <w:rPr>
          <w:b/>
          <w:sz w:val="24"/>
        </w:rPr>
        <w:t xml:space="preserve"> VI </w:t>
      </w:r>
      <w:proofErr w:type="spellStart"/>
      <w:r>
        <w:rPr>
          <w:b/>
          <w:sz w:val="24"/>
        </w:rPr>
        <w:t>Coordinator</w:t>
      </w:r>
      <w:proofErr w:type="spellEnd"/>
    </w:p>
    <w:p w14:paraId="30B93219" w14:textId="77777777" w:rsidR="009314FC" w:rsidRDefault="009314FC">
      <w:pPr>
        <w:spacing w:line="276" w:lineRule="auto"/>
        <w:ind w:left="120" w:right="9174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Mercantile</w:t>
      </w:r>
      <w:proofErr w:type="spellEnd"/>
      <w:r>
        <w:rPr>
          <w:sz w:val="24"/>
        </w:rPr>
        <w:t xml:space="preserve"> Street – Suite 520</w:t>
      </w:r>
    </w:p>
    <w:p w14:paraId="7CF63C43" w14:textId="30D2FCBE" w:rsidR="00011386" w:rsidRDefault="009314FC" w:rsidP="009314FC">
      <w:pPr>
        <w:spacing w:line="276" w:lineRule="auto"/>
        <w:ind w:left="120" w:right="9174"/>
        <w:rPr>
          <w:sz w:val="24"/>
        </w:rPr>
      </w:pPr>
      <w:r>
        <w:rPr>
          <w:sz w:val="24"/>
        </w:rPr>
        <w:t>Worcester, MA 01608</w:t>
      </w:r>
    </w:p>
    <w:p w14:paraId="0D72C2B1" w14:textId="6F87554F" w:rsidR="00011386" w:rsidRDefault="009314FC">
      <w:pPr>
        <w:spacing w:before="40"/>
        <w:ind w:left="119"/>
        <w:rPr>
          <w:sz w:val="24"/>
        </w:rPr>
      </w:pPr>
      <w:r>
        <w:rPr>
          <w:sz w:val="24"/>
        </w:rPr>
        <w:t>Teléfono:</w:t>
      </w:r>
      <w:r>
        <w:rPr>
          <w:spacing w:val="-4"/>
          <w:sz w:val="24"/>
        </w:rPr>
        <w:t xml:space="preserve"> </w:t>
      </w:r>
      <w:r>
        <w:rPr>
          <w:sz w:val="24"/>
        </w:rPr>
        <w:t>(508) 459-3313</w:t>
      </w:r>
    </w:p>
    <w:p w14:paraId="06A3A698" w14:textId="70A2FB78" w:rsidR="00011386" w:rsidRDefault="009314FC">
      <w:pPr>
        <w:spacing w:before="43"/>
        <w:ind w:left="119"/>
        <w:rPr>
          <w:sz w:val="24"/>
        </w:rPr>
      </w:pPr>
      <w:r>
        <w:rPr>
          <w:sz w:val="24"/>
        </w:rPr>
        <w:t>Correo</w:t>
      </w:r>
      <w:r>
        <w:rPr>
          <w:spacing w:val="-7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5"/>
          <w:sz w:val="24"/>
        </w:rPr>
        <w:t xml:space="preserve"> </w:t>
      </w:r>
      <w:hyperlink r:id="rId4" w:history="1">
        <w:r w:rsidRPr="009314FC">
          <w:rPr>
            <w:rStyle w:val="Hyperlink"/>
          </w:rPr>
          <w:t>TitleVICoordinator@cmrpc.org</w:t>
        </w:r>
      </w:hyperlink>
    </w:p>
    <w:p w14:paraId="4F3AC1BA" w14:textId="77777777" w:rsidR="00011386" w:rsidRDefault="00011386">
      <w:pPr>
        <w:pStyle w:val="BodyText"/>
        <w:rPr>
          <w:sz w:val="23"/>
        </w:rPr>
      </w:pPr>
    </w:p>
    <w:p w14:paraId="1C26D25E" w14:textId="77777777" w:rsidR="00011386" w:rsidRDefault="009314FC">
      <w:pPr>
        <w:pStyle w:val="BodyText"/>
        <w:spacing w:before="92" w:line="276" w:lineRule="auto"/>
        <w:ind w:left="120"/>
        <w:rPr>
          <w:sz w:val="24"/>
        </w:rPr>
      </w:pPr>
      <w:r>
        <w:t>Las</w:t>
      </w:r>
      <w:r>
        <w:rPr>
          <w:spacing w:val="-3"/>
        </w:rPr>
        <w:t xml:space="preserve"> </w:t>
      </w:r>
      <w:r>
        <w:t>quejas</w:t>
      </w:r>
      <w:r>
        <w:rPr>
          <w:spacing w:val="-3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presentarse</w:t>
      </w:r>
      <w:r>
        <w:rPr>
          <w:spacing w:val="-2"/>
        </w:rPr>
        <w:t xml:space="preserve"> </w:t>
      </w:r>
      <w:r>
        <w:t>directamente</w:t>
      </w:r>
      <w:r>
        <w:rPr>
          <w:spacing w:val="-5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United</w:t>
      </w:r>
      <w:proofErr w:type="spellEnd"/>
      <w:r>
        <w:rPr>
          <w:spacing w:val="-5"/>
        </w:rPr>
        <w:t xml:space="preserve"> </w:t>
      </w:r>
      <w:proofErr w:type="spellStart"/>
      <w:r>
        <w:t>States</w:t>
      </w:r>
      <w:proofErr w:type="spellEnd"/>
      <w:r>
        <w:rPr>
          <w:spacing w:val="-6"/>
        </w:rPr>
        <w:t xml:space="preserve"> </w:t>
      </w:r>
      <w:proofErr w:type="spellStart"/>
      <w:r>
        <w:t>Department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Transportation</w:t>
      </w:r>
      <w:proofErr w:type="spellEnd"/>
      <w:r>
        <w:t xml:space="preserve"> [Departamento de transporte de los EE. UU.] en</w:t>
      </w:r>
      <w:r>
        <w:rPr>
          <w:sz w:val="24"/>
        </w:rPr>
        <w:t>:</w:t>
      </w:r>
    </w:p>
    <w:p w14:paraId="186112CD" w14:textId="77777777" w:rsidR="00011386" w:rsidRDefault="00011386">
      <w:pPr>
        <w:pStyle w:val="BodyText"/>
        <w:spacing w:before="9"/>
        <w:rPr>
          <w:sz w:val="27"/>
        </w:rPr>
      </w:pPr>
    </w:p>
    <w:p w14:paraId="5F1B1438" w14:textId="77777777" w:rsidR="00011386" w:rsidRDefault="009314FC">
      <w:pPr>
        <w:ind w:left="119"/>
        <w:rPr>
          <w:b/>
          <w:sz w:val="24"/>
        </w:rPr>
      </w:pPr>
      <w:r>
        <w:rPr>
          <w:b/>
          <w:sz w:val="24"/>
        </w:rPr>
        <w:t>U.S.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Department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Transportation</w:t>
      </w:r>
      <w:proofErr w:type="spellEnd"/>
    </w:p>
    <w:p w14:paraId="2CE388B4" w14:textId="77777777" w:rsidR="00011386" w:rsidRDefault="009314FC">
      <w:pPr>
        <w:spacing w:before="41"/>
        <w:ind w:left="119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Rights</w:t>
      </w:r>
      <w:proofErr w:type="spellEnd"/>
    </w:p>
    <w:p w14:paraId="30002B7F" w14:textId="77777777" w:rsidR="00011386" w:rsidRDefault="009314FC">
      <w:pPr>
        <w:spacing w:before="41" w:line="278" w:lineRule="auto"/>
        <w:ind w:left="119" w:right="10033"/>
        <w:rPr>
          <w:sz w:val="24"/>
        </w:rPr>
      </w:pPr>
      <w:r>
        <w:rPr>
          <w:sz w:val="24"/>
        </w:rPr>
        <w:t>1200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Jersey</w:t>
      </w:r>
      <w:r>
        <w:rPr>
          <w:spacing w:val="-10"/>
          <w:sz w:val="24"/>
        </w:rPr>
        <w:t xml:space="preserve"> </w:t>
      </w:r>
      <w:r>
        <w:rPr>
          <w:sz w:val="24"/>
        </w:rPr>
        <w:t>Avenue,</w:t>
      </w:r>
      <w:r>
        <w:rPr>
          <w:spacing w:val="-10"/>
          <w:sz w:val="24"/>
        </w:rPr>
        <w:t xml:space="preserve"> </w:t>
      </w:r>
      <w:r>
        <w:rPr>
          <w:sz w:val="24"/>
        </w:rPr>
        <w:t>SE Washington, DC 20590</w:t>
      </w:r>
    </w:p>
    <w:p w14:paraId="11917344" w14:textId="77777777" w:rsidR="00011386" w:rsidRDefault="009314FC">
      <w:pPr>
        <w:spacing w:line="272" w:lineRule="exact"/>
        <w:ind w:left="119"/>
        <w:rPr>
          <w:sz w:val="24"/>
        </w:rPr>
      </w:pPr>
      <w:r>
        <w:rPr>
          <w:sz w:val="24"/>
        </w:rPr>
        <w:t>Sitio</w:t>
      </w:r>
      <w:r>
        <w:rPr>
          <w:spacing w:val="-1"/>
          <w:sz w:val="24"/>
        </w:rPr>
        <w:t xml:space="preserve"> </w:t>
      </w:r>
      <w:r>
        <w:rPr>
          <w:sz w:val="24"/>
        </w:rPr>
        <w:t>web:</w:t>
      </w:r>
      <w:r>
        <w:rPr>
          <w:spacing w:val="-3"/>
          <w:sz w:val="24"/>
        </w:rPr>
        <w:t xml:space="preserve"> </w:t>
      </w:r>
      <w:hyperlink r:id="rId5">
        <w:r>
          <w:rPr>
            <w:color w:val="0000FF"/>
            <w:spacing w:val="-2"/>
            <w:sz w:val="24"/>
            <w:u w:val="single" w:color="0000FF"/>
          </w:rPr>
          <w:t>civilrights.justice.gov/</w:t>
        </w:r>
      </w:hyperlink>
    </w:p>
    <w:p w14:paraId="13FFC029" w14:textId="77777777" w:rsidR="00011386" w:rsidRDefault="00011386">
      <w:pPr>
        <w:pStyle w:val="BodyText"/>
        <w:spacing w:before="3"/>
        <w:rPr>
          <w:sz w:val="24"/>
        </w:rPr>
      </w:pPr>
    </w:p>
    <w:p w14:paraId="557BB12C" w14:textId="33EEDC72" w:rsidR="00011386" w:rsidRDefault="009314FC">
      <w:pPr>
        <w:pStyle w:val="BodyText"/>
        <w:ind w:left="120" w:right="1995"/>
      </w:pPr>
      <w:r>
        <w:t>Para</w:t>
      </w:r>
      <w:r>
        <w:rPr>
          <w:spacing w:val="-2"/>
        </w:rPr>
        <w:t xml:space="preserve"> </w:t>
      </w:r>
      <w:r>
        <w:t>obtener</w:t>
      </w:r>
      <w:r>
        <w:rPr>
          <w:spacing w:val="-7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información,</w:t>
      </w:r>
      <w:r>
        <w:rPr>
          <w:spacing w:val="-6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lingüísticos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acomodaciones</w:t>
      </w:r>
      <w:r>
        <w:rPr>
          <w:spacing w:val="-3"/>
        </w:rPr>
        <w:t xml:space="preserve"> </w:t>
      </w:r>
      <w:r>
        <w:t>viables,</w:t>
      </w:r>
      <w:r>
        <w:rPr>
          <w:spacing w:val="-3"/>
        </w:rPr>
        <w:t xml:space="preserve"> </w:t>
      </w:r>
      <w:proofErr w:type="gramStart"/>
      <w:r>
        <w:t>visite</w:t>
      </w:r>
      <w:proofErr w:type="gramEnd"/>
      <w:r>
        <w:t xml:space="preserve"> </w:t>
      </w:r>
      <w:hyperlink r:id="rId6">
        <w:r>
          <w:rPr>
            <w:color w:val="0000FF"/>
            <w:u w:val="single" w:color="0000FF"/>
          </w:rPr>
          <w:t>mass.gov/</w:t>
        </w:r>
        <w:proofErr w:type="spellStart"/>
        <w:r>
          <w:rPr>
            <w:color w:val="0000FF"/>
            <w:u w:val="single" w:color="0000FF"/>
          </w:rPr>
          <w:t>nondiscrimination</w:t>
        </w:r>
        <w:proofErr w:type="spellEnd"/>
        <w:r>
          <w:rPr>
            <w:color w:val="0000FF"/>
            <w:u w:val="single" w:color="0000FF"/>
          </w:rPr>
          <w:t>-</w:t>
        </w:r>
        <w:proofErr w:type="spellStart"/>
        <w:r>
          <w:rPr>
            <w:color w:val="0000FF"/>
            <w:u w:val="single" w:color="0000FF"/>
          </w:rPr>
          <w:t>in-transportation-program</w:t>
        </w:r>
        <w:proofErr w:type="spellEnd"/>
      </w:hyperlink>
      <w:r>
        <w:rPr>
          <w:color w:val="0000FF"/>
        </w:rPr>
        <w:t xml:space="preserve"> </w:t>
      </w:r>
      <w:proofErr w:type="spellStart"/>
      <w:r>
        <w:t>or</w:t>
      </w:r>
      <w:proofErr w:type="spellEnd"/>
      <w:r>
        <w:t xml:space="preserve"> </w:t>
      </w:r>
      <w:hyperlink r:id="rId7" w:history="1">
        <w:r w:rsidRPr="00A8573F">
          <w:rPr>
            <w:rStyle w:val="Hyperlink"/>
          </w:rPr>
          <w:t>cmrpc.org/</w:t>
        </w:r>
        <w:proofErr w:type="spellStart"/>
        <w:r w:rsidRPr="00A8573F">
          <w:rPr>
            <w:rStyle w:val="Hyperlink"/>
          </w:rPr>
          <w:t>title</w:t>
        </w:r>
        <w:proofErr w:type="spellEnd"/>
        <w:r w:rsidRPr="00A8573F">
          <w:rPr>
            <w:rStyle w:val="Hyperlink"/>
          </w:rPr>
          <w:t>-vi-</w:t>
        </w:r>
        <w:proofErr w:type="spellStart"/>
        <w:r w:rsidRPr="00A8573F">
          <w:rPr>
            <w:rStyle w:val="Hyperlink"/>
          </w:rPr>
          <w:t>policy</w:t>
        </w:r>
        <w:proofErr w:type="spellEnd"/>
      </w:hyperlink>
    </w:p>
    <w:p w14:paraId="0548BB61" w14:textId="0F12A097" w:rsidR="00011386" w:rsidRDefault="001C5B96" w:rsidP="001C5B96">
      <w:pPr>
        <w:pStyle w:val="BodyText"/>
        <w:spacing w:before="1"/>
        <w:ind w:left="10800" w:firstLine="720"/>
        <w:rPr>
          <w:sz w:val="7"/>
        </w:rPr>
      </w:pPr>
      <w:r>
        <w:rPr>
          <w:sz w:val="7"/>
        </w:rPr>
        <w:t xml:space="preserve">          </w:t>
      </w:r>
      <w:r>
        <w:rPr>
          <w:noProof/>
          <w:sz w:val="7"/>
        </w:rPr>
        <w:drawing>
          <wp:inline distT="0" distB="0" distL="0" distR="0" wp14:anchorId="06016725" wp14:editId="31745E23">
            <wp:extent cx="1835150" cy="958917"/>
            <wp:effectExtent l="0" t="0" r="0" b="0"/>
            <wp:docPr id="295723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19" cy="95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386">
      <w:type w:val="continuous"/>
      <w:pgSz w:w="15840" w:h="12240" w:orient="landscape"/>
      <w:pgMar w:top="66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386"/>
    <w:rsid w:val="00011386"/>
    <w:rsid w:val="001C5B96"/>
    <w:rsid w:val="009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9DF53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2843" w:right="282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1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mrpc.org/title-vi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s.gov/nondiscrimination-in-transportation-program" TargetMode="External"/><Relationship Id="rId5" Type="http://schemas.openxmlformats.org/officeDocument/2006/relationships/hyperlink" Target="https://civilrights.justice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TitleVICoordinator@cmrp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>Commonwealth of Massachusetts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al público sobre los derechos civiles</dc:title>
  <dc:creator>Gregory Sobczynski</dc:creator>
  <cp:lastModifiedBy>Nathan Lewis</cp:lastModifiedBy>
  <cp:revision>3</cp:revision>
  <dcterms:created xsi:type="dcterms:W3CDTF">2023-11-09T15:29:00Z</dcterms:created>
  <dcterms:modified xsi:type="dcterms:W3CDTF">2023-11-09T15:38:00Z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D:20230517155327</vt:lpwstr>
  </property>
</Properties>
</file>